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8C6595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8C6595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　</w:t>
            </w:r>
            <w:r w:rsidR="00264318">
              <w:rPr>
                <w:rFonts w:hAnsi="ＭＳ 明朝" w:hint="eastAsia"/>
                <w:spacing w:val="5"/>
              </w:rPr>
              <w:t>国分寺市長</w:t>
            </w:r>
            <w:bookmarkStart w:id="0" w:name="_GoBack"/>
            <w:bookmarkEnd w:id="0"/>
            <w:r w:rsidRPr="00254A6E">
              <w:rPr>
                <w:rFonts w:hAnsi="ＭＳ 明朝" w:hint="eastAsia"/>
                <w:spacing w:val="5"/>
              </w:rPr>
              <w:t xml:space="preserve">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spacing w:val="16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</w:t>
                                        </w:r>
                                        <w:proofErr w:type="gramStart"/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じ</w:t>
                                        </w:r>
                                        <w:proofErr w:type="gramEnd"/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</w:t>
                                        </w:r>
                                        <w:proofErr w:type="gramStart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じん</w:t>
                                        </w:r>
                                        <w:proofErr w:type="gramEnd"/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spacing w:val="16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</w:t>
                                  </w:r>
                                  <w:proofErr w:type="gramStart"/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じ</w:t>
                                  </w:r>
                                  <w:proofErr w:type="gramEnd"/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</w:t>
                                  </w:r>
                                  <w:proofErr w:type="gramStart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じん</w:t>
                                  </w:r>
                                  <w:proofErr w:type="gramEnd"/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5A7F7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吹付け石綿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並びに石綿を含有する断熱材、保温材</w:t>
                            </w:r>
                            <w:r w:rsidR="00461ED8" w:rsidRPr="00347585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及び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</w:t>
                      </w:r>
                      <w:bookmarkStart w:id="1" w:name="_GoBack"/>
                      <w:bookmarkEnd w:id="1"/>
                      <w:r w:rsidRPr="00874269">
                        <w:rPr>
                          <w:rFonts w:hint="eastAsia"/>
                          <w:spacing w:val="-16"/>
                        </w:rPr>
                        <w:t>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5A7F79">
                        <w:rPr>
                          <w:rFonts w:hint="eastAsia"/>
                          <w:spacing w:val="-16"/>
                          <w:u w:val="single"/>
                        </w:rPr>
                        <w:t>吹付け石綿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並びに石綿を含有する断熱材、保温材</w:t>
                      </w:r>
                      <w:r w:rsidR="00461ED8" w:rsidRPr="00347585">
                        <w:rPr>
                          <w:rFonts w:hint="eastAsia"/>
                          <w:spacing w:val="-16"/>
                          <w:u w:val="single"/>
                        </w:rPr>
                        <w:t>及び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CE3" w:rsidRDefault="00AA1CE3">
      <w:r>
        <w:separator/>
      </w:r>
    </w:p>
  </w:endnote>
  <w:endnote w:type="continuationSeparator" w:id="0">
    <w:p w:rsidR="00AA1CE3" w:rsidRDefault="00AA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CE3" w:rsidRDefault="00AA1CE3">
      <w:r>
        <w:separator/>
      </w:r>
    </w:p>
  </w:footnote>
  <w:footnote w:type="continuationSeparator" w:id="0">
    <w:p w:rsidR="00AA1CE3" w:rsidRDefault="00AA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64318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A1CE3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4120C820"/>
  <w15:chartTrackingRefBased/>
  <w15:docId w15:val="{E5DFAEBB-7A39-41B9-B825-3B8A96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dc:description/>
  <cp:lastModifiedBy>岩渕　宏司</cp:lastModifiedBy>
  <cp:revision>5</cp:revision>
  <cp:lastPrinted>2007-02-05T02:11:00Z</cp:lastPrinted>
  <dcterms:created xsi:type="dcterms:W3CDTF">2021-01-19T01:47:00Z</dcterms:created>
  <dcterms:modified xsi:type="dcterms:W3CDTF">2021-03-30T04:45:00Z</dcterms:modified>
</cp:coreProperties>
</file>